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ED939" w14:textId="77777777" w:rsidR="00E0544F" w:rsidRPr="00511A6D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11A6D">
        <w:rPr>
          <w:rFonts w:ascii="Times New Roman" w:hAnsi="Times New Roman"/>
          <w:b/>
          <w:sz w:val="20"/>
          <w:szCs w:val="20"/>
        </w:rPr>
        <w:t>FIŞA DISCIPLINEI</w:t>
      </w:r>
    </w:p>
    <w:p w14:paraId="74C05318" w14:textId="77777777" w:rsidR="00E0544F" w:rsidRPr="00511A6D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140B56F" w14:textId="77777777" w:rsidR="00E0544F" w:rsidRPr="00511A6D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511A6D" w14:paraId="226FE8DD" w14:textId="77777777" w:rsidTr="0013012F">
        <w:tc>
          <w:tcPr>
            <w:tcW w:w="1871" w:type="pct"/>
            <w:vAlign w:val="center"/>
          </w:tcPr>
          <w:p w14:paraId="7A7D2495" w14:textId="77777777" w:rsidR="00E0544F" w:rsidRPr="00511A6D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129" w:type="pct"/>
            <w:vAlign w:val="center"/>
          </w:tcPr>
          <w:p w14:paraId="2DF1705A" w14:textId="77777777" w:rsidR="00E0544F" w:rsidRPr="00511A6D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511A6D" w14:paraId="3C5753FB" w14:textId="77777777" w:rsidTr="0013012F">
        <w:tc>
          <w:tcPr>
            <w:tcW w:w="1871" w:type="pct"/>
            <w:vAlign w:val="center"/>
          </w:tcPr>
          <w:p w14:paraId="3A453AA8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CE806BE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511A6D" w14:paraId="3B26BE9C" w14:textId="77777777" w:rsidTr="0013012F">
        <w:tc>
          <w:tcPr>
            <w:tcW w:w="1871" w:type="pct"/>
            <w:vAlign w:val="center"/>
          </w:tcPr>
          <w:p w14:paraId="7D3D9D6B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3FCD1EE3" w14:textId="77777777" w:rsidR="00E0544F" w:rsidRPr="00511A6D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511A6D" w14:paraId="40EE31B7" w14:textId="77777777" w:rsidTr="0013012F">
        <w:tc>
          <w:tcPr>
            <w:tcW w:w="1871" w:type="pct"/>
            <w:vAlign w:val="center"/>
          </w:tcPr>
          <w:p w14:paraId="586B3FD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57CD46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511A6D" w14:paraId="0C788821" w14:textId="77777777" w:rsidTr="0013012F">
        <w:tc>
          <w:tcPr>
            <w:tcW w:w="1871" w:type="pct"/>
            <w:vAlign w:val="center"/>
          </w:tcPr>
          <w:p w14:paraId="0CF6045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55111C53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511A6D" w14:paraId="7733CAA1" w14:textId="77777777" w:rsidTr="0013012F">
        <w:tc>
          <w:tcPr>
            <w:tcW w:w="1871" w:type="pct"/>
            <w:vAlign w:val="center"/>
          </w:tcPr>
          <w:p w14:paraId="070B03A7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4C97D0D8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18F16C5D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6F897" w14:textId="77777777" w:rsidR="00E0544F" w:rsidRPr="00511A6D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 xml:space="preserve">2. </w:t>
      </w:r>
      <w:r w:rsidR="00E0544F" w:rsidRPr="00511A6D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511A6D" w14:paraId="3BC6DFE9" w14:textId="77777777" w:rsidTr="0013012F">
        <w:tc>
          <w:tcPr>
            <w:tcW w:w="3828" w:type="dxa"/>
            <w:gridSpan w:val="3"/>
          </w:tcPr>
          <w:p w14:paraId="520B734C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1C531E87" w14:textId="10FE3982" w:rsidR="00E0544F" w:rsidRPr="00511A6D" w:rsidRDefault="007969E8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Neuropsihologie</w:t>
            </w:r>
          </w:p>
        </w:tc>
      </w:tr>
      <w:tr w:rsidR="00E0544F" w:rsidRPr="00511A6D" w14:paraId="3205E905" w14:textId="77777777" w:rsidTr="0013012F">
        <w:tc>
          <w:tcPr>
            <w:tcW w:w="3828" w:type="dxa"/>
            <w:gridSpan w:val="3"/>
          </w:tcPr>
          <w:p w14:paraId="5788B05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674" w:type="dxa"/>
            <w:gridSpan w:val="6"/>
          </w:tcPr>
          <w:p w14:paraId="31E179AE" w14:textId="1F250D54" w:rsidR="00E0544F" w:rsidRPr="00511A6D" w:rsidRDefault="007969E8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Dr. Ene Florin</w:t>
            </w:r>
          </w:p>
        </w:tc>
      </w:tr>
      <w:tr w:rsidR="00E0544F" w:rsidRPr="00511A6D" w14:paraId="0854F0B7" w14:textId="77777777" w:rsidTr="0013012F">
        <w:tc>
          <w:tcPr>
            <w:tcW w:w="3828" w:type="dxa"/>
            <w:gridSpan w:val="3"/>
          </w:tcPr>
          <w:p w14:paraId="27C9325E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674" w:type="dxa"/>
            <w:gridSpan w:val="6"/>
          </w:tcPr>
          <w:p w14:paraId="6C9E19E9" w14:textId="00C9DC21" w:rsidR="0092278B" w:rsidRPr="00511A6D" w:rsidRDefault="007969E8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Dr. Ene Florin</w:t>
            </w:r>
          </w:p>
        </w:tc>
      </w:tr>
      <w:tr w:rsidR="00E0544F" w:rsidRPr="00511A6D" w14:paraId="3688A766" w14:textId="77777777" w:rsidTr="0013012F">
        <w:tc>
          <w:tcPr>
            <w:tcW w:w="1843" w:type="dxa"/>
          </w:tcPr>
          <w:p w14:paraId="3DA353B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3DCEF536" w14:textId="4230573B" w:rsidR="00E0544F" w:rsidRPr="00511A6D" w:rsidRDefault="00D54C39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47A1E3C5" w14:textId="77777777" w:rsidR="00E0544F" w:rsidRPr="00511A6D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28ABDD86" w14:textId="2C99FB93" w:rsidR="00E0544F" w:rsidRPr="00511A6D" w:rsidRDefault="00D54C39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A77D24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14:paraId="645E392A" w14:textId="77777777" w:rsidR="00E0544F" w:rsidRPr="00511A6D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0DC3F825" w14:textId="071E3CE8" w:rsidR="00E0544F" w:rsidRPr="00511A6D" w:rsidRDefault="00974843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476" w:type="dxa"/>
          </w:tcPr>
          <w:p w14:paraId="32136EE5" w14:textId="77777777" w:rsidR="00E0544F" w:rsidRPr="00511A6D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2E921DA9" w14:textId="66E276C3" w:rsidR="00E0544F" w:rsidRPr="00511A6D" w:rsidRDefault="00974843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Obl</w:t>
            </w:r>
          </w:p>
        </w:tc>
      </w:tr>
    </w:tbl>
    <w:p w14:paraId="338AC714" w14:textId="77777777" w:rsidR="0013012F" w:rsidRPr="00511A6D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6E0407A1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511A6D" w14:paraId="2D734FA8" w14:textId="77777777" w:rsidTr="00D5089F">
        <w:tc>
          <w:tcPr>
            <w:tcW w:w="3438" w:type="dxa"/>
          </w:tcPr>
          <w:p w14:paraId="2BA5A2A0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0C5CA6C6" w14:textId="7F93E03E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90" w:type="dxa"/>
          </w:tcPr>
          <w:p w14:paraId="5976BAD1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3AE9C94E" w14:textId="5453CE36" w:rsidR="00E0544F" w:rsidRPr="00511A6D" w:rsidRDefault="00FF7D2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35DC85F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680BF2ED" w14:textId="59029D9E" w:rsidR="00E0544F" w:rsidRPr="00511A6D" w:rsidRDefault="007F3CA9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E0544F" w:rsidRPr="00511A6D" w14:paraId="42E6B72C" w14:textId="77777777" w:rsidTr="00D5089F">
        <w:tc>
          <w:tcPr>
            <w:tcW w:w="3438" w:type="dxa"/>
          </w:tcPr>
          <w:p w14:paraId="3BC3A68A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900" w:type="dxa"/>
          </w:tcPr>
          <w:p w14:paraId="5BD8D30C" w14:textId="2D72C474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890" w:type="dxa"/>
          </w:tcPr>
          <w:p w14:paraId="2825682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3E1A40A4" w14:textId="17BCE1FD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02EB98F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6B915E97" w14:textId="74C3334C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511A6D" w14:paraId="68A3D5CC" w14:textId="77777777" w:rsidTr="0013012F">
        <w:tc>
          <w:tcPr>
            <w:tcW w:w="8928" w:type="dxa"/>
            <w:gridSpan w:val="5"/>
          </w:tcPr>
          <w:p w14:paraId="280DF79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40" w:type="dxa"/>
          </w:tcPr>
          <w:p w14:paraId="3AE119B4" w14:textId="77777777" w:rsidR="00E0544F" w:rsidRPr="00511A6D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511A6D" w14:paraId="701ACAF2" w14:textId="77777777" w:rsidTr="0013012F">
        <w:tc>
          <w:tcPr>
            <w:tcW w:w="8928" w:type="dxa"/>
            <w:gridSpan w:val="5"/>
          </w:tcPr>
          <w:p w14:paraId="704DD0EB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7454B118" w14:textId="71DDB3DA" w:rsidR="00E0544F" w:rsidRPr="00511A6D" w:rsidRDefault="00B7456E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45D5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  <w:tr w:rsidR="00E0544F" w:rsidRPr="00511A6D" w14:paraId="66D099F9" w14:textId="77777777" w:rsidTr="0013012F">
        <w:tc>
          <w:tcPr>
            <w:tcW w:w="8928" w:type="dxa"/>
            <w:gridSpan w:val="5"/>
          </w:tcPr>
          <w:p w14:paraId="4EE88F0A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AC4467A" w14:textId="7CEB7E8C" w:rsidR="00E0544F" w:rsidRPr="00511A6D" w:rsidRDefault="00B7456E" w:rsidP="00A26A9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45D5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  <w:tr w:rsidR="00E0544F" w:rsidRPr="00511A6D" w14:paraId="36B81EF7" w14:textId="77777777" w:rsidTr="0013012F">
        <w:tc>
          <w:tcPr>
            <w:tcW w:w="8928" w:type="dxa"/>
            <w:gridSpan w:val="5"/>
          </w:tcPr>
          <w:p w14:paraId="6BAFD59F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</w:tcPr>
          <w:p w14:paraId="53A331BE" w14:textId="5F913DD1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82362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E0544F" w:rsidRPr="00511A6D" w14:paraId="383DC07C" w14:textId="77777777" w:rsidTr="0013012F">
        <w:tc>
          <w:tcPr>
            <w:tcW w:w="8928" w:type="dxa"/>
            <w:gridSpan w:val="5"/>
          </w:tcPr>
          <w:p w14:paraId="5088B48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540" w:type="dxa"/>
          </w:tcPr>
          <w:p w14:paraId="2781C3B5" w14:textId="51F6CEDA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82362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E0544F" w:rsidRPr="00511A6D" w14:paraId="0289B2FA" w14:textId="77777777" w:rsidTr="0013012F">
        <w:tc>
          <w:tcPr>
            <w:tcW w:w="8928" w:type="dxa"/>
            <w:gridSpan w:val="5"/>
          </w:tcPr>
          <w:p w14:paraId="340E24B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1DA29DBA" w14:textId="56B4FC6B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0.2</w:t>
            </w:r>
          </w:p>
        </w:tc>
      </w:tr>
      <w:tr w:rsidR="00E0544F" w:rsidRPr="00511A6D" w14:paraId="03E29CE3" w14:textId="77777777" w:rsidTr="0013012F">
        <w:tc>
          <w:tcPr>
            <w:tcW w:w="8928" w:type="dxa"/>
            <w:gridSpan w:val="5"/>
          </w:tcPr>
          <w:p w14:paraId="77A3E27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</w:tcPr>
          <w:p w14:paraId="653380D7" w14:textId="77777777" w:rsidR="00E0544F" w:rsidRPr="00511A6D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511A6D" w14:paraId="6F9AE2EE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27A96FB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2A2F31EC" w14:textId="13EAD516" w:rsidR="00E0544F" w:rsidRPr="00511A6D" w:rsidRDefault="000F2608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BD0569"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.4</w:t>
            </w:r>
          </w:p>
        </w:tc>
      </w:tr>
      <w:tr w:rsidR="00E0544F" w:rsidRPr="00511A6D" w14:paraId="001A5F4E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2400A72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4818F275" w14:textId="2B8A3186" w:rsidR="00E0544F" w:rsidRPr="00511A6D" w:rsidRDefault="00CB0DDB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42</w:t>
            </w:r>
          </w:p>
        </w:tc>
      </w:tr>
      <w:tr w:rsidR="00E0544F" w:rsidRPr="00511A6D" w14:paraId="3148CAFD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EC6DCE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7E161C4E" w14:textId="1AECFCC0" w:rsidR="00E0544F" w:rsidRPr="00511A6D" w:rsidRDefault="00A77D24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5</w:t>
            </w:r>
          </w:p>
        </w:tc>
      </w:tr>
    </w:tbl>
    <w:p w14:paraId="50A0121E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7E3EA4F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511A6D" w14:paraId="31A6F5EC" w14:textId="77777777" w:rsidTr="0013012F">
        <w:tc>
          <w:tcPr>
            <w:tcW w:w="1985" w:type="dxa"/>
          </w:tcPr>
          <w:p w14:paraId="6DA0914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43F1E33A" w14:textId="0CD810BE" w:rsidR="00E0544F" w:rsidRPr="00511A6D" w:rsidRDefault="007969E8" w:rsidP="007969E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</w:t>
            </w:r>
          </w:p>
        </w:tc>
      </w:tr>
      <w:tr w:rsidR="00E0544F" w:rsidRPr="00511A6D" w14:paraId="37472CC9" w14:textId="77777777" w:rsidTr="0013012F">
        <w:tc>
          <w:tcPr>
            <w:tcW w:w="1985" w:type="dxa"/>
          </w:tcPr>
          <w:p w14:paraId="6D352E0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7" w:type="dxa"/>
          </w:tcPr>
          <w:p w14:paraId="2C32E350" w14:textId="276AB15D" w:rsidR="00E0544F" w:rsidRPr="00511A6D" w:rsidRDefault="007969E8" w:rsidP="00315534">
            <w:pPr>
              <w:pStyle w:val="NoSpacing"/>
              <w:numPr>
                <w:ilvl w:val="0"/>
                <w:numId w:val="3"/>
              </w:numPr>
              <w:ind w:left="186" w:hanging="1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969E8">
              <w:rPr>
                <w:rFonts w:ascii="Times New Roman" w:hAnsi="Times New Roman"/>
                <w:sz w:val="20"/>
                <w:szCs w:val="20"/>
                <w:lang w:val="ro-RO"/>
              </w:rPr>
              <w:t>Cursul este destinat în principal absolvenţilor din domeniile ştiinţelor sociale şi umane, dar este deschis participării și absolvenținlor din alte ramuri ale științei.</w:t>
            </w:r>
          </w:p>
        </w:tc>
      </w:tr>
    </w:tbl>
    <w:p w14:paraId="408DE1C1" w14:textId="77777777" w:rsidR="00E0544F" w:rsidRPr="00511A6D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E1A6E93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511A6D" w14:paraId="0C476F69" w14:textId="77777777" w:rsidTr="000D4587">
        <w:tc>
          <w:tcPr>
            <w:tcW w:w="4395" w:type="dxa"/>
          </w:tcPr>
          <w:p w14:paraId="7710BF7C" w14:textId="4096AC91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5.1 de </w:t>
            </w:r>
            <w:r w:rsidR="00AD64AA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desfășurare</w:t>
            </w: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cursului</w:t>
            </w:r>
          </w:p>
          <w:p w14:paraId="588F0031" w14:textId="77777777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0107334B" w14:textId="495E38A2" w:rsidR="000D4587" w:rsidRPr="00511A6D" w:rsidRDefault="00315534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Acces inter</w:t>
            </w:r>
            <w:r w:rsidR="00F94450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net, videoproiector</w:t>
            </w:r>
          </w:p>
        </w:tc>
      </w:tr>
      <w:tr w:rsidR="000D4587" w:rsidRPr="00511A6D" w14:paraId="56388FDB" w14:textId="77777777" w:rsidTr="000D4587">
        <w:tc>
          <w:tcPr>
            <w:tcW w:w="4395" w:type="dxa"/>
          </w:tcPr>
          <w:p w14:paraId="2B89B43D" w14:textId="5E47FCC4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5.2 de </w:t>
            </w:r>
            <w:r w:rsidR="00AD64AA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desfășurare</w:t>
            </w: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seminarului/laboratorului</w:t>
            </w:r>
          </w:p>
        </w:tc>
        <w:tc>
          <w:tcPr>
            <w:tcW w:w="5107" w:type="dxa"/>
          </w:tcPr>
          <w:p w14:paraId="5CD443C4" w14:textId="6408CABC" w:rsidR="000D4587" w:rsidRPr="00511A6D" w:rsidRDefault="00F94450" w:rsidP="00F944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Acces internet, videoproiector</w:t>
            </w:r>
          </w:p>
        </w:tc>
      </w:tr>
    </w:tbl>
    <w:p w14:paraId="52F39807" w14:textId="77777777" w:rsidR="00E0544F" w:rsidRPr="00511A6D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661C2BB8" w14:textId="77777777" w:rsidR="00B037C6" w:rsidRPr="00511A6D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bookmarkStart w:id="0" w:name="_Hlk82343301"/>
      <w:r w:rsidRPr="00511A6D">
        <w:rPr>
          <w:rFonts w:ascii="Times New Roman" w:hAnsi="Times New Roman"/>
          <w:b/>
          <w:sz w:val="20"/>
          <w:szCs w:val="20"/>
          <w:lang w:val="ro-RO"/>
        </w:rPr>
        <w:t>Obiectivele disciplinei - rezultate așteptate ale învățării la formarea cărora contribuie parcurgerea și promovarea disciplinei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511A6D" w14:paraId="16984A64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61C61040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740" w:type="dxa"/>
            <w:vAlign w:val="center"/>
          </w:tcPr>
          <w:p w14:paraId="066A625C" w14:textId="77777777" w:rsidR="00E94B9E" w:rsidRPr="00511A6D" w:rsidRDefault="00E94B9E" w:rsidP="00FD544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</w:pPr>
            <w:r w:rsidRPr="00511A6D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>Studentul:</w:t>
            </w:r>
          </w:p>
          <w:p w14:paraId="6095370E" w14:textId="12DD36BF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identifică pertinent principalele caracteristici asociate sănătății mentale și bunăstării psihologice, funcționării și dezvoltării normotipice și atipice, precum și condițiile lor prealabile, în cadrul interacțiunii cu beneficiarii serviciilor psihologice.</w:t>
            </w:r>
          </w:p>
          <w:p w14:paraId="4BB7A53F" w14:textId="77777777" w:rsidR="000B0BF2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explică principalele trăsături proprii simptomatologiilor psihopatologice și/sau comportamentului disfuncțional/maladaptativ în diagnoza/intervenția psihologică.</w:t>
            </w:r>
          </w:p>
          <w:p w14:paraId="0B343AEC" w14:textId="7E524F64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își însușește cunostinte despre fundamentele neurobiologice ale comportamentului uman, introductive despre dezvoltarea umana in directia transmiterii genetice cu mecanismele ei, dezvoltarea intrauterina (normala si patologica); Cunoștinte despre celula nervoasa, transmitere sinaptica, particularitati si deversitate</w:t>
            </w:r>
          </w:p>
          <w:p w14:paraId="6DC526CE" w14:textId="31E238BA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cunoaște functionarea generala a SNC atat in sensul relatiei cu mediul cat si in realizarea autonomiei individuale</w:t>
            </w:r>
          </w:p>
          <w:p w14:paraId="3F6E9A15" w14:textId="50280CF0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cunoaște noțiuni de anatomie ale Sistemului nervos, Maduva spinarii, Trunchi cerebral, Diencefal, Emisfere cerebrale.</w:t>
            </w:r>
          </w:p>
          <w:p w14:paraId="3A4C279B" w14:textId="2F495C33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definește notiunie de afazie, agnozie, apraxie, agrafie, alexie si a deficitelor de planificare</w:t>
            </w:r>
          </w:p>
        </w:tc>
      </w:tr>
      <w:tr w:rsidR="00B037C6" w:rsidRPr="00511A6D" w14:paraId="7B8525D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6B6A9313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Abilități</w:t>
            </w:r>
          </w:p>
        </w:tc>
        <w:tc>
          <w:tcPr>
            <w:tcW w:w="7740" w:type="dxa"/>
            <w:vAlign w:val="center"/>
          </w:tcPr>
          <w:p w14:paraId="1CCBD9F9" w14:textId="3B78C4F9" w:rsidR="00081C1D" w:rsidRDefault="00081C1D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84C69" w:rsidRPr="00511A6D">
              <w:rPr>
                <w:rFonts w:ascii="Times New Roman" w:hAnsi="Times New Roman"/>
                <w:sz w:val="20"/>
                <w:szCs w:val="20"/>
              </w:rPr>
              <w:t>planifică adecvat resursele în vederea realizării unui demers validat științific</w:t>
            </w:r>
            <w:r w:rsidR="00801C97" w:rsidRPr="00511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1249CF" w14:textId="77777777" w:rsidR="007969E8" w:rsidRDefault="007969E8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analizează critic informațiile din literatura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științifică, documente medicale / educaționale, analiza părților interesate și alte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surse disponibile, atunci când furnizează servicii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psihologice clienților.</w:t>
            </w:r>
          </w:p>
          <w:p w14:paraId="1D297C2A" w14:textId="77777777" w:rsidR="008C0D49" w:rsidRDefault="007969E8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adaptează terminologia psihologică în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comunicarea cu diferite categoriile socioprofesionale vizate ca și clienți, precum și de tipul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de diagnoză si intervenție</w:t>
            </w:r>
          </w:p>
          <w:p w14:paraId="5FD516A1" w14:textId="73E0769A" w:rsidR="007969E8" w:rsidRPr="007969E8" w:rsidRDefault="008C0D49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î</w:t>
            </w:r>
            <w:r w:rsidR="007969E8" w:rsidRPr="007969E8">
              <w:rPr>
                <w:rFonts w:ascii="Times New Roman" w:hAnsi="Times New Roman"/>
                <w:sz w:val="20"/>
                <w:szCs w:val="20"/>
              </w:rPr>
              <w:t>ntelege importanta suportului biologic asupra comportamentului.</w:t>
            </w:r>
          </w:p>
          <w:p w14:paraId="35E74401" w14:textId="77777777" w:rsidR="008C0D49" w:rsidRDefault="008C0D49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969E8" w:rsidRPr="007969E8">
              <w:rPr>
                <w:rFonts w:ascii="Times New Roman" w:hAnsi="Times New Roman"/>
                <w:sz w:val="20"/>
                <w:szCs w:val="20"/>
              </w:rPr>
              <w:t>recunoaste elemene de deteriorare cerebrala, precum afazie, agnozie, apraxie, agrafie, alexie si de a construi ipoteze de lucru care sa fie rezolvae in lucru in echipa.</w:t>
            </w:r>
          </w:p>
          <w:p w14:paraId="72993B4E" w14:textId="27AD2B0A" w:rsidR="008C0D49" w:rsidRPr="00511A6D" w:rsidRDefault="008C0D49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c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>apacitatea de a se integra in echipa terapeutica, atat in identificarea problematicilor cat siin realizarea celor mai bune interventii.</w:t>
            </w:r>
          </w:p>
        </w:tc>
      </w:tr>
      <w:tr w:rsidR="00B037C6" w:rsidRPr="00511A6D" w14:paraId="3A7C4417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3E093804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3DFC28C8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acționează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responsabil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relația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beneficiarul serviciilor psihologice (persoana cu tulburari psihice), conform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reperelor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etice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deontologice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legale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relevante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4012AE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demonstrează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respect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atunci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când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interacționează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clienții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alții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93FC57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dovedeşte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reflexivitate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disponibilitatea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a reflecta critic, orientat spre ipoteze, și de a  aplica  raționamente  în procesele de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luare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deciziilor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demersul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D60027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deprinde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strategiile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muncă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riguroasă, eficientă și responsabilă, de punctualitate și răspundere personală față de rezultat, pe baza principiilor, normelor și valorilor codului de etică profesională, pre care Ie va aplica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relația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beneficiarul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serviciilor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CE6618A" w14:textId="6EED4AE6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>ecunoa</w:t>
            </w:r>
            <w:r>
              <w:rPr>
                <w:rFonts w:ascii="Times New Roman" w:hAnsi="Times New Roman"/>
                <w:sz w:val="20"/>
                <w:szCs w:val="20"/>
              </w:rPr>
              <w:t>ște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limita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competenta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tulburarile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psihopatolog</w:t>
            </w:r>
            <w:r>
              <w:rPr>
                <w:rFonts w:ascii="Times New Roman" w:hAnsi="Times New Roman"/>
                <w:sz w:val="20"/>
                <w:szCs w:val="20"/>
              </w:rPr>
              <w:t>ice</w:t>
            </w:r>
            <w:proofErr w:type="spellEnd"/>
          </w:p>
          <w:p w14:paraId="1661D2A9" w14:textId="77777777" w:rsidR="00A05905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manifestă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professionalism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formularea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pertinentă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întrebări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înțelege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cauzele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comportamentului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clientului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evenimentelor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 xml:space="preserve">care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este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implicat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atunci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când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interacționează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acesta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2B6D0FE" w14:textId="47447F4C" w:rsidR="008C0D49" w:rsidRP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utilizează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coerent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norme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standarde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metodologii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specific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proiectarea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demersurilor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</w:t>
            </w:r>
            <w: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diagnoză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, sub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supervizare</w:t>
            </w:r>
            <w:proofErr w:type="spellEnd"/>
          </w:p>
        </w:tc>
      </w:tr>
      <w:bookmarkEnd w:id="0"/>
    </w:tbl>
    <w:p w14:paraId="4C4CF974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0AB27B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6DDC44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87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9"/>
        <w:gridCol w:w="3060"/>
        <w:gridCol w:w="1350"/>
      </w:tblGrid>
      <w:tr w:rsidR="00E0544F" w:rsidRPr="00A77D24" w14:paraId="1D17C566" w14:textId="77777777" w:rsidTr="0029158D">
        <w:tc>
          <w:tcPr>
            <w:tcW w:w="4349" w:type="dxa"/>
          </w:tcPr>
          <w:p w14:paraId="12A816C4" w14:textId="77777777" w:rsidR="00E0544F" w:rsidRPr="00A77D24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3060" w:type="dxa"/>
          </w:tcPr>
          <w:p w14:paraId="557E0CA2" w14:textId="77777777" w:rsidR="00E0544F" w:rsidRPr="00A77D24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350" w:type="dxa"/>
          </w:tcPr>
          <w:p w14:paraId="5FB77BDD" w14:textId="77777777" w:rsidR="00E0544F" w:rsidRPr="00A77D24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A77D24" w:rsidRPr="00A77D24" w14:paraId="1BA885E0" w14:textId="77777777" w:rsidTr="0029158D">
        <w:tc>
          <w:tcPr>
            <w:tcW w:w="4349" w:type="dxa"/>
          </w:tcPr>
          <w:p w14:paraId="241EC3D5" w14:textId="367EA450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pt-PT" w:eastAsia="ro-RO"/>
              </w:rPr>
              <w:t>Curs1.Psihopatologie:istoric,factori determinati,axe importante in  psihopatologie,clasificare tulburari psihice.</w:t>
            </w:r>
          </w:p>
        </w:tc>
        <w:tc>
          <w:tcPr>
            <w:tcW w:w="3060" w:type="dxa"/>
          </w:tcPr>
          <w:p w14:paraId="4B4B98C5" w14:textId="21E195E0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2E30A7F7" w14:textId="29D454C3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2080429D" w14:textId="77777777" w:rsidTr="0029158D">
        <w:tc>
          <w:tcPr>
            <w:tcW w:w="4349" w:type="dxa"/>
          </w:tcPr>
          <w:p w14:paraId="2B249F5E" w14:textId="4434975A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pt-PT" w:eastAsia="ro-RO"/>
              </w:rPr>
              <w:t>Curs 2.Psihopatologia senzorialitatii</w:t>
            </w:r>
          </w:p>
        </w:tc>
        <w:tc>
          <w:tcPr>
            <w:tcW w:w="3060" w:type="dxa"/>
          </w:tcPr>
          <w:p w14:paraId="3702AD72" w14:textId="20B9DFA7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7CC4AF26" w14:textId="72F51636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45479778" w14:textId="77777777" w:rsidTr="0029158D">
        <w:tc>
          <w:tcPr>
            <w:tcW w:w="4349" w:type="dxa"/>
          </w:tcPr>
          <w:p w14:paraId="7388339C" w14:textId="68474EE7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Curs3.Psihopatologia functiei prosexice</w:t>
            </w:r>
            <w:r w:rsidRPr="00A77D24">
              <w:rPr>
                <w:rFonts w:ascii="Times New Roman" w:hAnsi="Times New Roman"/>
                <w:i/>
                <w:sz w:val="20"/>
                <w:szCs w:val="20"/>
                <w:lang w:val="it-IT" w:eastAsia="ro-RO"/>
              </w:rPr>
              <w:tab/>
            </w:r>
          </w:p>
        </w:tc>
        <w:tc>
          <w:tcPr>
            <w:tcW w:w="3060" w:type="dxa"/>
          </w:tcPr>
          <w:p w14:paraId="4B30D8D0" w14:textId="14C42DDB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2BFA8831" w14:textId="0F0AAB41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24E153F7" w14:textId="77777777" w:rsidTr="0029158D">
        <w:tc>
          <w:tcPr>
            <w:tcW w:w="4349" w:type="dxa"/>
          </w:tcPr>
          <w:p w14:paraId="668A9E00" w14:textId="4028402E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pt-PT" w:eastAsia="ro-RO"/>
              </w:rPr>
              <w:t>Curs4.psihopatologia memoriei.</w:t>
            </w:r>
          </w:p>
        </w:tc>
        <w:tc>
          <w:tcPr>
            <w:tcW w:w="3060" w:type="dxa"/>
          </w:tcPr>
          <w:p w14:paraId="6EDC43CF" w14:textId="4331A781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132245ED" w14:textId="76F6F208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05203CC5" w14:textId="77777777" w:rsidTr="0029158D">
        <w:tc>
          <w:tcPr>
            <w:tcW w:w="4349" w:type="dxa"/>
          </w:tcPr>
          <w:p w14:paraId="1BC6EEAD" w14:textId="35EEFDCF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Curs5.Psihopatologia gindirii</w:t>
            </w:r>
          </w:p>
        </w:tc>
        <w:tc>
          <w:tcPr>
            <w:tcW w:w="3060" w:type="dxa"/>
          </w:tcPr>
          <w:p w14:paraId="39BF1D5E" w14:textId="1F794EDE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73D673AA" w14:textId="13858F17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03A98514" w14:textId="77777777" w:rsidTr="0029158D">
        <w:tc>
          <w:tcPr>
            <w:tcW w:w="4349" w:type="dxa"/>
          </w:tcPr>
          <w:p w14:paraId="40C7F65B" w14:textId="09ED74A7" w:rsidR="00A77D24" w:rsidRPr="00A77D24" w:rsidRDefault="00A77D24" w:rsidP="00A77D24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Curs6.Psihopatologia imaginatiei</w:t>
            </w:r>
          </w:p>
        </w:tc>
        <w:tc>
          <w:tcPr>
            <w:tcW w:w="3060" w:type="dxa"/>
          </w:tcPr>
          <w:p w14:paraId="5242E204" w14:textId="6E1D278D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6AE58EF0" w14:textId="29E92909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34669762" w14:textId="77777777" w:rsidTr="0029158D">
        <w:tc>
          <w:tcPr>
            <w:tcW w:w="4349" w:type="dxa"/>
          </w:tcPr>
          <w:p w14:paraId="1962F55C" w14:textId="38293B19" w:rsidR="00A77D24" w:rsidRPr="00A77D24" w:rsidRDefault="00A77D24" w:rsidP="00A77D24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Curs7.Psihopatologia Afectivitatii</w:t>
            </w:r>
          </w:p>
        </w:tc>
        <w:tc>
          <w:tcPr>
            <w:tcW w:w="3060" w:type="dxa"/>
          </w:tcPr>
          <w:p w14:paraId="046B7A88" w14:textId="310BD076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2A48580C" w14:textId="29AF5592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7E756CC1" w14:textId="77777777" w:rsidTr="0029158D">
        <w:tc>
          <w:tcPr>
            <w:tcW w:w="4349" w:type="dxa"/>
          </w:tcPr>
          <w:p w14:paraId="5ECA47F7" w14:textId="70D8E6E4" w:rsidR="00A77D24" w:rsidRPr="00A77D24" w:rsidRDefault="00A77D24" w:rsidP="00A77D24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Curs8.Psihopatologia comportamentului expresiv</w:t>
            </w:r>
          </w:p>
        </w:tc>
        <w:tc>
          <w:tcPr>
            <w:tcW w:w="3060" w:type="dxa"/>
          </w:tcPr>
          <w:p w14:paraId="1137C5DF" w14:textId="675F8BA1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23AEA826" w14:textId="14C7C8F3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6A0DE4A8" w14:textId="77777777" w:rsidTr="0029158D">
        <w:tc>
          <w:tcPr>
            <w:tcW w:w="4349" w:type="dxa"/>
          </w:tcPr>
          <w:p w14:paraId="79DA15BB" w14:textId="5156FD88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Curs9.Tulburarile de personalitate</w:t>
            </w:r>
          </w:p>
        </w:tc>
        <w:tc>
          <w:tcPr>
            <w:tcW w:w="3060" w:type="dxa"/>
          </w:tcPr>
          <w:p w14:paraId="3E809D3F" w14:textId="7D817CC8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671D4C88" w14:textId="40693279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5911F92E" w14:textId="77777777" w:rsidTr="0029158D">
        <w:tc>
          <w:tcPr>
            <w:tcW w:w="4349" w:type="dxa"/>
          </w:tcPr>
          <w:p w14:paraId="3209E669" w14:textId="40421C90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Curs10.Schizofrenia si tulburarile de spectru</w:t>
            </w:r>
          </w:p>
        </w:tc>
        <w:tc>
          <w:tcPr>
            <w:tcW w:w="3060" w:type="dxa"/>
          </w:tcPr>
          <w:p w14:paraId="40D91AC5" w14:textId="033B4019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63E4BC20" w14:textId="46402D50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4D37F8DB" w14:textId="77777777" w:rsidTr="0029158D">
        <w:tc>
          <w:tcPr>
            <w:tcW w:w="4349" w:type="dxa"/>
          </w:tcPr>
          <w:p w14:paraId="21914695" w14:textId="3BC42196" w:rsidR="00A77D24" w:rsidRPr="00A77D24" w:rsidRDefault="00A77D24" w:rsidP="00A77D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eastAsia="ro-RO"/>
              </w:rPr>
              <w:t>Curs11.Tulburarile afective</w:t>
            </w:r>
          </w:p>
        </w:tc>
        <w:tc>
          <w:tcPr>
            <w:tcW w:w="3060" w:type="dxa"/>
          </w:tcPr>
          <w:p w14:paraId="5D4D990B" w14:textId="6AD8714B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04F52FD0" w14:textId="797F4B86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390C28C0" w14:textId="77777777" w:rsidTr="0029158D">
        <w:tc>
          <w:tcPr>
            <w:tcW w:w="4349" w:type="dxa"/>
          </w:tcPr>
          <w:p w14:paraId="3EF09CC7" w14:textId="0ECD4F87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Curs12.Tulburarile anxioase</w:t>
            </w:r>
          </w:p>
        </w:tc>
        <w:tc>
          <w:tcPr>
            <w:tcW w:w="3060" w:type="dxa"/>
          </w:tcPr>
          <w:p w14:paraId="2FBB4840" w14:textId="2400E70D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3ECF7D71" w14:textId="4F0CDA68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6E85B27F" w14:textId="77777777" w:rsidTr="0029158D">
        <w:tc>
          <w:tcPr>
            <w:tcW w:w="4349" w:type="dxa"/>
          </w:tcPr>
          <w:p w14:paraId="40CA963B" w14:textId="7CF13CFC" w:rsidR="00A77D24" w:rsidRPr="00A77D24" w:rsidRDefault="00A77D24" w:rsidP="00A77D24">
            <w:pPr>
              <w:pStyle w:val="NoSpacing"/>
              <w:tabs>
                <w:tab w:val="left" w:pos="1309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 w:eastAsia="ro-RO"/>
              </w:rPr>
              <w:t>Curs13.Dependente de substante</w:t>
            </w:r>
          </w:p>
        </w:tc>
        <w:tc>
          <w:tcPr>
            <w:tcW w:w="3060" w:type="dxa"/>
          </w:tcPr>
          <w:p w14:paraId="36F21C51" w14:textId="32BE6A57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  <w:vAlign w:val="center"/>
          </w:tcPr>
          <w:p w14:paraId="013522D3" w14:textId="66B88D81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D24" w:rsidRPr="00A77D24" w14:paraId="5BE9DB49" w14:textId="77777777" w:rsidTr="0029158D">
        <w:tc>
          <w:tcPr>
            <w:tcW w:w="4349" w:type="dxa"/>
          </w:tcPr>
          <w:p w14:paraId="68E6F470" w14:textId="7C350B03" w:rsidR="00A77D24" w:rsidRPr="00A77D24" w:rsidRDefault="00A77D24" w:rsidP="00A77D24">
            <w:pPr>
              <w:pStyle w:val="NoSpacing"/>
              <w:tabs>
                <w:tab w:val="left" w:pos="1309"/>
              </w:tabs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 w:eastAsia="ro-RO"/>
              </w:rPr>
              <w:lastRenderedPageBreak/>
              <w:t>Curs 14.Abordari psihopatologice</w:t>
            </w:r>
          </w:p>
        </w:tc>
        <w:tc>
          <w:tcPr>
            <w:tcW w:w="3060" w:type="dxa"/>
          </w:tcPr>
          <w:p w14:paraId="7F3C5CDA" w14:textId="52952B5D" w:rsidR="00A77D24" w:rsidRPr="00A77D24" w:rsidRDefault="00A77D24" w:rsidP="00A77D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sz w:val="20"/>
                <w:szCs w:val="20"/>
                <w:lang w:val="ro-RO"/>
              </w:rPr>
              <w:t>Prezentarea orală a conținutului cursurilor în fața studenților</w:t>
            </w:r>
          </w:p>
        </w:tc>
        <w:tc>
          <w:tcPr>
            <w:tcW w:w="1350" w:type="dxa"/>
          </w:tcPr>
          <w:p w14:paraId="49C3142D" w14:textId="782AC710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A77D24" w14:paraId="0FFE919B" w14:textId="77777777" w:rsidTr="0029158D">
        <w:tc>
          <w:tcPr>
            <w:tcW w:w="8759" w:type="dxa"/>
            <w:gridSpan w:val="3"/>
          </w:tcPr>
          <w:p w14:paraId="561D21B3" w14:textId="42083C41" w:rsidR="008C0D49" w:rsidRPr="00A77D24" w:rsidRDefault="008C0D49" w:rsidP="008C0D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</w:rPr>
              <w:t xml:space="preserve">Bibliografie: </w:t>
            </w:r>
          </w:p>
          <w:p w14:paraId="41DECAD0" w14:textId="4DCA6354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de curs ,Florin Ene,2016</w:t>
            </w:r>
          </w:p>
          <w:p w14:paraId="1B175C51" w14:textId="398ACCF2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 xml:space="preserve">14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Abordari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psihopatologie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,Serban Ionescu,2006</w:t>
            </w:r>
          </w:p>
          <w:p w14:paraId="6A3D3F3A" w14:textId="16F122C1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 xml:space="preserve">ICD-10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clasificarea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tulburarilor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mentale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si de comportament, editura Trei</w:t>
            </w:r>
          </w:p>
          <w:p w14:paraId="4AAF8FED" w14:textId="77777777" w:rsidR="00A77D24" w:rsidRPr="00A77D24" w:rsidRDefault="00A77D24" w:rsidP="00A77D2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>Bibliografie recomandată:</w:t>
            </w:r>
          </w:p>
          <w:p w14:paraId="4C315A9A" w14:textId="38F00798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>Kaplan and Sadock</w:t>
            </w:r>
            <w:r w:rsidR="0029158D">
              <w:rPr>
                <w:rFonts w:ascii="Times New Roman" w:hAnsi="Times New Roman"/>
                <w:sz w:val="20"/>
                <w:szCs w:val="20"/>
              </w:rPr>
              <w:t>’</w:t>
            </w:r>
            <w:r w:rsidRPr="00A77D24">
              <w:rPr>
                <w:rFonts w:ascii="Times New Roman" w:hAnsi="Times New Roman"/>
                <w:sz w:val="20"/>
                <w:szCs w:val="20"/>
              </w:rPr>
              <w:t>s Synopsis of psychiatry:</w:t>
            </w:r>
            <w:r w:rsidR="002915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Behevioral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sciences/Clinical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psychiatry.Eleven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 xml:space="preserve"> edition by Benjamin J. Sadock (Author), Virginia A. Sadock (Author), Dr. Pedro Ruiz MD (Author),2014</w:t>
            </w:r>
          </w:p>
          <w:p w14:paraId="1C6DA82E" w14:textId="64BD0F4B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Psihiatrie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>, vol. I,sub redactia Vasile Predescu,1989</w:t>
            </w:r>
          </w:p>
          <w:p w14:paraId="35D9A535" w14:textId="2797752C" w:rsidR="00A77D24" w:rsidRPr="00A77D24" w:rsidRDefault="00A77D24" w:rsidP="00A77D24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>DSM 5th edition by American Psychiatry Association,2013</w:t>
            </w:r>
          </w:p>
          <w:p w14:paraId="756DCA80" w14:textId="0A90ECE8" w:rsidR="008C0D49" w:rsidRPr="0029158D" w:rsidRDefault="00A77D24" w:rsidP="008C0D49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Fonts w:ascii="Times New Roman" w:hAnsi="Times New Roman"/>
                <w:sz w:val="20"/>
                <w:szCs w:val="20"/>
              </w:rPr>
              <w:t xml:space="preserve">DSM4 </w:t>
            </w:r>
            <w:proofErr w:type="spellStart"/>
            <w:r w:rsidRPr="00A77D24">
              <w:rPr>
                <w:rFonts w:ascii="Times New Roman" w:hAnsi="Times New Roman"/>
                <w:sz w:val="20"/>
                <w:szCs w:val="20"/>
              </w:rPr>
              <w:t>revizuit</w:t>
            </w:r>
            <w:proofErr w:type="spellEnd"/>
            <w:r w:rsidRPr="00A77D24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  <w:tr w:rsidR="00E0544F" w:rsidRPr="00A77D24" w14:paraId="4860BC0E" w14:textId="77777777" w:rsidTr="0029158D">
        <w:tc>
          <w:tcPr>
            <w:tcW w:w="4349" w:type="dxa"/>
          </w:tcPr>
          <w:p w14:paraId="1A1D94AC" w14:textId="77777777" w:rsidR="00E0544F" w:rsidRPr="00A77D24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.2 Seminar / laborator</w:t>
            </w:r>
          </w:p>
        </w:tc>
        <w:tc>
          <w:tcPr>
            <w:tcW w:w="3060" w:type="dxa"/>
          </w:tcPr>
          <w:p w14:paraId="7BDD441A" w14:textId="77777777" w:rsidR="00E0544F" w:rsidRPr="00A77D24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350" w:type="dxa"/>
          </w:tcPr>
          <w:p w14:paraId="728A8D6E" w14:textId="0111D4AC" w:rsidR="00E0544F" w:rsidRPr="00A77D24" w:rsidRDefault="00511A6D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77D24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Observații</w:t>
            </w:r>
          </w:p>
        </w:tc>
      </w:tr>
      <w:tr w:rsidR="00FC4950" w:rsidRPr="00A77D24" w14:paraId="2F85D223" w14:textId="77777777" w:rsidTr="0029158D">
        <w:tc>
          <w:tcPr>
            <w:tcW w:w="4349" w:type="dxa"/>
            <w:vAlign w:val="center"/>
          </w:tcPr>
          <w:p w14:paraId="421B521B" w14:textId="4FA15CC6" w:rsidR="00FC4950" w:rsidRPr="00A77D24" w:rsidRDefault="00FC4950" w:rsidP="00FC4950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A77D24">
              <w:rPr>
                <w:rStyle w:val="Strong"/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3060" w:type="dxa"/>
            <w:vAlign w:val="center"/>
          </w:tcPr>
          <w:p w14:paraId="2D29BAAA" w14:textId="7C70F104" w:rsidR="00FC4950" w:rsidRPr="00A77D24" w:rsidRDefault="00FC4950" w:rsidP="00FC49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Style w:val="Strong"/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350" w:type="dxa"/>
            <w:vAlign w:val="center"/>
          </w:tcPr>
          <w:p w14:paraId="34EAD1F7" w14:textId="13DB2589" w:rsidR="00FC4950" w:rsidRPr="00A77D24" w:rsidRDefault="00FC4950" w:rsidP="00FC49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77D24">
              <w:rPr>
                <w:rStyle w:val="Strong"/>
                <w:rFonts w:ascii="Times New Roman" w:hAnsi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29158D" w:rsidRPr="00A77D24" w14:paraId="29C4663D" w14:textId="77777777" w:rsidTr="0029158D">
        <w:tc>
          <w:tcPr>
            <w:tcW w:w="4349" w:type="dxa"/>
          </w:tcPr>
          <w:p w14:paraId="3BDB67A6" w14:textId="0BBE67F5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1.Abordarea ateoretica in psihopatologie</w:t>
            </w:r>
          </w:p>
        </w:tc>
        <w:tc>
          <w:tcPr>
            <w:tcW w:w="3060" w:type="dxa"/>
          </w:tcPr>
          <w:p w14:paraId="6B242A76" w14:textId="22A6CD64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657DE4EE" w14:textId="2EBB0922" w:rsidR="0029158D" w:rsidRPr="00A77D24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158D" w:rsidRPr="00A77D24" w14:paraId="7226BB10" w14:textId="77777777" w:rsidTr="0029158D">
        <w:tc>
          <w:tcPr>
            <w:tcW w:w="4349" w:type="dxa"/>
          </w:tcPr>
          <w:p w14:paraId="6E92FB96" w14:textId="74222F52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2.Abordarea comportamentala</w:t>
            </w:r>
          </w:p>
        </w:tc>
        <w:tc>
          <w:tcPr>
            <w:tcW w:w="3060" w:type="dxa"/>
          </w:tcPr>
          <w:p w14:paraId="17CAA9FF" w14:textId="5E7E4D41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54E862E4" w14:textId="4F01578E" w:rsidR="0029158D" w:rsidRPr="00A77D24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158D" w:rsidRPr="00A77D24" w14:paraId="4CF7E80B" w14:textId="77777777" w:rsidTr="0029158D">
        <w:tc>
          <w:tcPr>
            <w:tcW w:w="4349" w:type="dxa"/>
          </w:tcPr>
          <w:p w14:paraId="52E346C7" w14:textId="2E66A92E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3.Abordarea biologica</w:t>
            </w:r>
          </w:p>
        </w:tc>
        <w:tc>
          <w:tcPr>
            <w:tcW w:w="3060" w:type="dxa"/>
          </w:tcPr>
          <w:p w14:paraId="741F24C5" w14:textId="33751923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69D289A8" w14:textId="66A79B81" w:rsidR="0029158D" w:rsidRPr="00A77D24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158D" w:rsidRPr="00A77D24" w14:paraId="1F3FBB47" w14:textId="77777777" w:rsidTr="0029158D">
        <w:tc>
          <w:tcPr>
            <w:tcW w:w="4349" w:type="dxa"/>
          </w:tcPr>
          <w:p w14:paraId="23B3C8DB" w14:textId="2E521BDF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4.Abordarea cognitiva</w:t>
            </w:r>
          </w:p>
        </w:tc>
        <w:tc>
          <w:tcPr>
            <w:tcW w:w="3060" w:type="dxa"/>
          </w:tcPr>
          <w:p w14:paraId="432D3B32" w14:textId="1F0410C8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3944CB80" w14:textId="051DED91" w:rsidR="0029158D" w:rsidRPr="00A77D24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158D" w:rsidRPr="00A77D24" w14:paraId="5FD29B51" w14:textId="77777777" w:rsidTr="0029158D">
        <w:tc>
          <w:tcPr>
            <w:tcW w:w="4349" w:type="dxa"/>
          </w:tcPr>
          <w:p w14:paraId="6B005B19" w14:textId="7A04892B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5.Abordarea ecosistemica</w:t>
            </w:r>
          </w:p>
        </w:tc>
        <w:tc>
          <w:tcPr>
            <w:tcW w:w="3060" w:type="dxa"/>
          </w:tcPr>
          <w:p w14:paraId="07B3B2CA" w14:textId="1B0F1F86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13DEA7A8" w14:textId="2F742C2C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325FB9C4" w14:textId="77777777" w:rsidTr="0029158D">
        <w:tc>
          <w:tcPr>
            <w:tcW w:w="4349" w:type="dxa"/>
          </w:tcPr>
          <w:p w14:paraId="072A56E1" w14:textId="2E39168C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6.Abordarea etologica</w:t>
            </w:r>
          </w:p>
        </w:tc>
        <w:tc>
          <w:tcPr>
            <w:tcW w:w="3060" w:type="dxa"/>
          </w:tcPr>
          <w:p w14:paraId="7E539FEB" w14:textId="5F22BB8B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692B04B0" w14:textId="7254B323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2842DA34" w14:textId="77777777" w:rsidTr="0029158D">
        <w:tc>
          <w:tcPr>
            <w:tcW w:w="4349" w:type="dxa"/>
          </w:tcPr>
          <w:p w14:paraId="1D666846" w14:textId="5281B6A9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7.abordarea etnologica</w:t>
            </w:r>
          </w:p>
        </w:tc>
        <w:tc>
          <w:tcPr>
            <w:tcW w:w="3060" w:type="dxa"/>
          </w:tcPr>
          <w:p w14:paraId="7CBB179F" w14:textId="55495233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308638EE" w14:textId="16BBF690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55180EA7" w14:textId="77777777" w:rsidTr="0029158D">
        <w:tc>
          <w:tcPr>
            <w:tcW w:w="4349" w:type="dxa"/>
          </w:tcPr>
          <w:p w14:paraId="219C62D2" w14:textId="78E36270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8.abordarea fenomenologica</w:t>
            </w:r>
          </w:p>
        </w:tc>
        <w:tc>
          <w:tcPr>
            <w:tcW w:w="3060" w:type="dxa"/>
          </w:tcPr>
          <w:p w14:paraId="0787E1F1" w14:textId="464462D1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02F39141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2C83CEE6" w14:textId="77777777" w:rsidTr="0029158D">
        <w:tc>
          <w:tcPr>
            <w:tcW w:w="4349" w:type="dxa"/>
          </w:tcPr>
          <w:p w14:paraId="16F704AC" w14:textId="488FB6C7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9.Abordarea structuralista</w:t>
            </w:r>
          </w:p>
        </w:tc>
        <w:tc>
          <w:tcPr>
            <w:tcW w:w="3060" w:type="dxa"/>
          </w:tcPr>
          <w:p w14:paraId="1D7B0976" w14:textId="4C63DBBD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1426B894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09B99E09" w14:textId="77777777" w:rsidTr="0029158D">
        <w:tc>
          <w:tcPr>
            <w:tcW w:w="4349" w:type="dxa"/>
          </w:tcPr>
          <w:p w14:paraId="57A50BD2" w14:textId="2DF1CDA2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10.Abordarea analitica</w:t>
            </w:r>
          </w:p>
        </w:tc>
        <w:tc>
          <w:tcPr>
            <w:tcW w:w="3060" w:type="dxa"/>
          </w:tcPr>
          <w:p w14:paraId="71C34EF4" w14:textId="306A8FE0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6CB8D468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04892791" w14:textId="77777777" w:rsidTr="0029158D">
        <w:tc>
          <w:tcPr>
            <w:tcW w:w="4349" w:type="dxa"/>
          </w:tcPr>
          <w:p w14:paraId="30F06350" w14:textId="031E5DEB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11.Abordarea analitica(2)</w:t>
            </w:r>
          </w:p>
        </w:tc>
        <w:tc>
          <w:tcPr>
            <w:tcW w:w="3060" w:type="dxa"/>
          </w:tcPr>
          <w:p w14:paraId="111EB5B4" w14:textId="3F05B62C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622D725C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20F561FE" w14:textId="77777777" w:rsidTr="0029158D">
        <w:tc>
          <w:tcPr>
            <w:tcW w:w="4349" w:type="dxa"/>
          </w:tcPr>
          <w:p w14:paraId="1CBF879F" w14:textId="592A797F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12.Abordarea familiala</w:t>
            </w:r>
          </w:p>
        </w:tc>
        <w:tc>
          <w:tcPr>
            <w:tcW w:w="3060" w:type="dxa"/>
          </w:tcPr>
          <w:p w14:paraId="7AC29D19" w14:textId="4D83E0DE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1711CD15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12B79983" w14:textId="77777777" w:rsidTr="0029158D">
        <w:tc>
          <w:tcPr>
            <w:tcW w:w="4349" w:type="dxa"/>
          </w:tcPr>
          <w:p w14:paraId="00BD0C11" w14:textId="5756756C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13.Abordare sociala</w:t>
            </w:r>
          </w:p>
        </w:tc>
        <w:tc>
          <w:tcPr>
            <w:tcW w:w="3060" w:type="dxa"/>
          </w:tcPr>
          <w:p w14:paraId="6F84A3E4" w14:textId="2AE382BB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4E90591D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9158D" w:rsidRPr="00A77D24" w14:paraId="1FAD0B5F" w14:textId="77777777" w:rsidTr="0029158D">
        <w:tc>
          <w:tcPr>
            <w:tcW w:w="4349" w:type="dxa"/>
          </w:tcPr>
          <w:p w14:paraId="2888E040" w14:textId="751B193F" w:rsidR="0029158D" w:rsidRPr="0029158D" w:rsidRDefault="0029158D" w:rsidP="0029158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158D">
              <w:rPr>
                <w:rFonts w:ascii="Times New Roman" w:hAnsi="Times New Roman"/>
                <w:sz w:val="20"/>
                <w:szCs w:val="20"/>
              </w:rPr>
              <w:t>14.Abordare integrativa si alte abordari</w:t>
            </w:r>
          </w:p>
        </w:tc>
        <w:tc>
          <w:tcPr>
            <w:tcW w:w="3060" w:type="dxa"/>
          </w:tcPr>
          <w:p w14:paraId="260FD0CB" w14:textId="2BA47382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Invatare prin descoperire</w:t>
            </w:r>
          </w:p>
        </w:tc>
        <w:tc>
          <w:tcPr>
            <w:tcW w:w="1350" w:type="dxa"/>
            <w:vAlign w:val="center"/>
          </w:tcPr>
          <w:p w14:paraId="47C9B18B" w14:textId="77777777" w:rsidR="0029158D" w:rsidRPr="00A77D24" w:rsidRDefault="0029158D" w:rsidP="0029158D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C6BC6" w:rsidRPr="00A77D24" w14:paraId="52B6A0A9" w14:textId="77777777" w:rsidTr="0029158D">
        <w:tc>
          <w:tcPr>
            <w:tcW w:w="8759" w:type="dxa"/>
            <w:gridSpan w:val="3"/>
          </w:tcPr>
          <w:p w14:paraId="01C8D577" w14:textId="77777777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Bibliografie obligatorie: </w:t>
            </w:r>
          </w:p>
          <w:p w14:paraId="10B1D9AD" w14:textId="02E140A4" w:rsidR="0029158D" w:rsidRP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Suport de curs ,Florin Ene,2016</w:t>
            </w:r>
          </w:p>
          <w:p w14:paraId="11F8721B" w14:textId="1679936B" w:rsidR="0029158D" w:rsidRP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14 Abordari in psihopatologie ,Serban Ionescu,2006</w:t>
            </w:r>
          </w:p>
          <w:p w14:paraId="033E3F64" w14:textId="5119406C" w:rsidR="0029158D" w:rsidRP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ICD-10 clasificarea tulburarilor mentale si de comportament, editura Trei</w:t>
            </w:r>
          </w:p>
          <w:p w14:paraId="0612A10B" w14:textId="77777777" w:rsidR="0029158D" w:rsidRPr="0029158D" w:rsidRDefault="0029158D" w:rsidP="0029158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Bibliografie recomandată:</w:t>
            </w:r>
          </w:p>
          <w:p w14:paraId="13B8E1F1" w14:textId="50C943D4" w:rsidR="0029158D" w:rsidRP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Kaplan and Sadock””s Synopsis of psychiatry:Behevioral sciences/Clinical psychiatry.Eleven edition by Benjamin J. Sadock (Author), Virginia A. Sadock (Author), Dr. Pedro Ruiz MD (Author),2014</w:t>
            </w:r>
          </w:p>
          <w:p w14:paraId="36C094D6" w14:textId="543BF8A0" w:rsidR="0029158D" w:rsidRP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Psihiatrie, vol. I,sub redactia Vasile Predescu,1989</w:t>
            </w:r>
          </w:p>
          <w:p w14:paraId="51BE85B6" w14:textId="1BBDFF73" w:rsidR="0029158D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DSM 5th edition by American Psychiatry Association,2013</w:t>
            </w:r>
          </w:p>
          <w:p w14:paraId="5A6AEA98" w14:textId="0084E8E7" w:rsidR="004C6BC6" w:rsidRPr="00A77D24" w:rsidRDefault="0029158D" w:rsidP="0029158D">
            <w:pPr>
              <w:pStyle w:val="NoSpacing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</w:t>
            </w:r>
            <w:r w:rsidRPr="0029158D">
              <w:rPr>
                <w:rFonts w:ascii="Times New Roman" w:hAnsi="Times New Roman"/>
                <w:sz w:val="20"/>
                <w:szCs w:val="20"/>
                <w:lang w:val="ro-RO"/>
              </w:rPr>
              <w:t>DSM4 revizuit</w:t>
            </w:r>
          </w:p>
        </w:tc>
      </w:tr>
    </w:tbl>
    <w:p w14:paraId="433E4C42" w14:textId="77777777" w:rsidR="00E0544F" w:rsidRPr="00511A6D" w:rsidRDefault="00E0544F" w:rsidP="00B037C6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48006A26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511A6D" w14:paraId="204F8B23" w14:textId="77777777" w:rsidTr="0013012F">
        <w:tc>
          <w:tcPr>
            <w:tcW w:w="9412" w:type="dxa"/>
          </w:tcPr>
          <w:p w14:paraId="2BCDB7AA" w14:textId="77777777" w:rsidR="008C0D49" w:rsidRPr="008C0D49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 xml:space="preserve">Disciplina este elaborată pe baza unor manuale și materiale de cercetare din domeniu recunoscute internațional  </w:t>
            </w:r>
          </w:p>
          <w:p w14:paraId="0E0BB786" w14:textId="77777777" w:rsidR="008C0D49" w:rsidRPr="008C0D49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 xml:space="preserve">Majoritatea tematicilor tratate în cadrul cursului și seminariilor se înscriu în plaja de actualitate a nevoilor și intereselor de studiu și cercetare în domeniu </w:t>
            </w:r>
          </w:p>
          <w:p w14:paraId="52F51C67" w14:textId="728C3D15" w:rsidR="00E0544F" w:rsidRPr="00511A6D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Cadrul didactic deține experineță didactică și de cercetare în domeniul de studiu căruia îi este circumscrisă disciplina Neuropsihologie</w:t>
            </w:r>
          </w:p>
        </w:tc>
      </w:tr>
    </w:tbl>
    <w:p w14:paraId="269990E3" w14:textId="77777777" w:rsidR="00E0544F" w:rsidRPr="00511A6D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bCs/>
          <w:sz w:val="20"/>
          <w:szCs w:val="20"/>
          <w:lang w:val="ro-RO"/>
        </w:rPr>
        <w:t>Evaluare</w:t>
      </w:r>
    </w:p>
    <w:tbl>
      <w:tblPr>
        <w:tblW w:w="83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3"/>
        <w:gridCol w:w="2915"/>
        <w:gridCol w:w="3265"/>
        <w:gridCol w:w="872"/>
      </w:tblGrid>
      <w:tr w:rsidR="00D0139C" w:rsidRPr="00511A6D" w14:paraId="49D048CB" w14:textId="77777777" w:rsidTr="008134B0"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1FC4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911A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3F55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4BCA" w14:textId="77777777" w:rsidR="000D4587" w:rsidRPr="00511A6D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8134B0" w:rsidRPr="00511A6D" w14:paraId="0B42C705" w14:textId="77777777" w:rsidTr="008134B0"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7E5E" w14:textId="30E4E498" w:rsidR="008134B0" w:rsidRPr="00511A6D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5A4DC832" w14:textId="628DD7ED" w:rsidR="008134B0" w:rsidRPr="00511A6D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BCF4" w14:textId="0F44B2DA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Sa cunoasca notiuni fundamentale de psihopatologie fenomenologica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FF4E" w14:textId="77777777" w:rsidR="008134B0" w:rsidRPr="008134B0" w:rsidRDefault="008134B0" w:rsidP="008134B0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F4B4EE8" w14:textId="37883053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Examen scris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FFA9" w14:textId="7EB2A396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70%</w:t>
            </w:r>
          </w:p>
        </w:tc>
      </w:tr>
      <w:tr w:rsidR="008134B0" w:rsidRPr="00511A6D" w14:paraId="6BF82406" w14:textId="77777777" w:rsidTr="008134B0"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8D47" w14:textId="385651D3" w:rsidR="008134B0" w:rsidRPr="00511A6D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AD7E" w14:textId="263A9D9E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Sa cunoasca si inteleaga perspectiva multicauzalitatii in psihopatologie.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864E" w14:textId="77777777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1568" w14:textId="3A58C786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134B0" w:rsidRPr="00511A6D" w14:paraId="2AD5E6A5" w14:textId="77777777" w:rsidTr="008134B0"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34A8" w14:textId="77777777" w:rsid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5FA" w14:textId="31BD6E12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Intelegere,aprofundare,prezentare abordari psihopatologice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F0FD" w14:textId="4B3480CE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Proiecte,Teste pe parcursul anului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DC72" w14:textId="383E37A0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20%</w:t>
            </w:r>
          </w:p>
        </w:tc>
      </w:tr>
      <w:tr w:rsidR="008134B0" w:rsidRPr="00511A6D" w14:paraId="0FB77657" w14:textId="77777777" w:rsidTr="008134B0"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50B8" w14:textId="77777777" w:rsid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5486" w14:textId="45E8D854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Participare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5C91" w14:textId="77777777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EFE2" w14:textId="10BFFB3D" w:rsidR="008134B0" w:rsidRPr="008134B0" w:rsidRDefault="008134B0" w:rsidP="008134B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134B0">
              <w:rPr>
                <w:rFonts w:ascii="Times New Roman" w:hAnsi="Times New Roman"/>
                <w:sz w:val="20"/>
                <w:lang w:val="ro-RO"/>
              </w:rPr>
              <w:t>10%</w:t>
            </w:r>
          </w:p>
        </w:tc>
      </w:tr>
      <w:tr w:rsidR="008C0D49" w:rsidRPr="00511A6D" w14:paraId="0E25B0CA" w14:textId="77777777" w:rsidTr="008134B0">
        <w:trPr>
          <w:gridAfter w:val="1"/>
          <w:wAfter w:w="583" w:type="dxa"/>
        </w:trPr>
        <w:tc>
          <w:tcPr>
            <w:tcW w:w="7782" w:type="dxa"/>
            <w:gridSpan w:val="3"/>
          </w:tcPr>
          <w:p w14:paraId="6ABDCB1B" w14:textId="77777777" w:rsidR="008C0D49" w:rsidRPr="00511A6D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9.6 Standard minim de performanţă</w:t>
            </w:r>
          </w:p>
        </w:tc>
      </w:tr>
      <w:tr w:rsidR="008C0D49" w:rsidRPr="00511A6D" w14:paraId="18A7E3B1" w14:textId="77777777" w:rsidTr="008134B0">
        <w:trPr>
          <w:gridAfter w:val="1"/>
          <w:wAfter w:w="583" w:type="dxa"/>
        </w:trPr>
        <w:tc>
          <w:tcPr>
            <w:tcW w:w="7782" w:type="dxa"/>
            <w:gridSpan w:val="3"/>
          </w:tcPr>
          <w:p w14:paraId="1A5A6380" w14:textId="2BD2EDCC" w:rsidR="008C0D49" w:rsidRPr="00511A6D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sz w:val="20"/>
                <w:szCs w:val="20"/>
              </w:rPr>
              <w:t>Definirea corectă a conceptelor de bază ale fiecărui nivelde funcţionare biologică prezentate la curs din neuroştiinţele dezvoltării, neurofiziologie moleculară, neurofiziologie celulară, neuroanatomie funcţională, neurofiziologia sistemelor şi comportamentului şi implicaţii clinice corelate.</w:t>
            </w:r>
          </w:p>
        </w:tc>
      </w:tr>
      <w:tr w:rsidR="008C0D49" w:rsidRPr="00511A6D" w14:paraId="7AA9A186" w14:textId="77777777" w:rsidTr="008134B0">
        <w:trPr>
          <w:gridAfter w:val="1"/>
          <w:wAfter w:w="583" w:type="dxa"/>
        </w:trPr>
        <w:tc>
          <w:tcPr>
            <w:tcW w:w="7782" w:type="dxa"/>
            <w:gridSpan w:val="3"/>
          </w:tcPr>
          <w:p w14:paraId="7BD6CDFF" w14:textId="77777777" w:rsidR="008C0D49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bookmarkStart w:id="1" w:name="_GoBack"/>
        <w:bookmarkEnd w:id="1"/>
      </w:tr>
    </w:tbl>
    <w:p w14:paraId="58A6957A" w14:textId="77777777" w:rsidR="00CC5025" w:rsidRPr="00511A6D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  <w:lang w:val="ro-RO"/>
        </w:rPr>
      </w:pPr>
    </w:p>
    <w:p w14:paraId="09C156A5" w14:textId="77777777" w:rsidR="00E0544F" w:rsidRPr="00511A6D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  <w:lang w:val="ro-RO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32"/>
        <w:gridCol w:w="1515"/>
        <w:gridCol w:w="1503"/>
        <w:gridCol w:w="3025"/>
      </w:tblGrid>
      <w:tr w:rsidR="000D4587" w:rsidRPr="00511A6D" w14:paraId="2FDAFCA5" w14:textId="77777777">
        <w:tc>
          <w:tcPr>
            <w:tcW w:w="3102" w:type="dxa"/>
          </w:tcPr>
          <w:p w14:paraId="5925ABF1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154218A4" w14:textId="77777777" w:rsidR="000D4587" w:rsidRPr="00511A6D" w:rsidRDefault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  <w:p w14:paraId="23B8081F" w14:textId="77777777" w:rsidR="000D4587" w:rsidRPr="00511A6D" w:rsidRDefault="000D4587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661C5E1B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titularului de curs</w:t>
            </w:r>
          </w:p>
          <w:p w14:paraId="695331A2" w14:textId="77777777" w:rsidR="000D4587" w:rsidRPr="00511A6D" w:rsidRDefault="000D4587" w:rsidP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8" w:type="dxa"/>
          </w:tcPr>
          <w:p w14:paraId="37A40F69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titularului de seminar</w:t>
            </w:r>
          </w:p>
          <w:p w14:paraId="2BEFF6C7" w14:textId="77777777" w:rsidR="000D4587" w:rsidRPr="00511A6D" w:rsidRDefault="000D4587" w:rsidP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4587" w:rsidRPr="00511A6D" w14:paraId="2F66B3E9" w14:textId="77777777">
        <w:tc>
          <w:tcPr>
            <w:tcW w:w="4649" w:type="dxa"/>
            <w:gridSpan w:val="2"/>
          </w:tcPr>
          <w:p w14:paraId="7F1B234C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4F262740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Directorului de Departament,</w:t>
            </w:r>
          </w:p>
          <w:p w14:paraId="05BC99D8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210AD37" w14:textId="77777777" w:rsidR="00F67E09" w:rsidRPr="00511A6D" w:rsidRDefault="00F67E09" w:rsidP="00661083">
      <w:pPr>
        <w:spacing w:line="480" w:lineRule="auto"/>
        <w:jc w:val="both"/>
        <w:rPr>
          <w:rFonts w:ascii="Times New Roman" w:hAnsi="Times New Roman"/>
          <w:sz w:val="20"/>
          <w:szCs w:val="20"/>
        </w:rPr>
      </w:pPr>
    </w:p>
    <w:sectPr w:rsidR="00F67E09" w:rsidRPr="00511A6D" w:rsidSect="005F0C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14D6C" w14:textId="77777777" w:rsidR="00EF17CC" w:rsidRDefault="00EF17CC" w:rsidP="00EE5A60">
      <w:pPr>
        <w:spacing w:after="0" w:line="240" w:lineRule="auto"/>
      </w:pPr>
      <w:r>
        <w:separator/>
      </w:r>
    </w:p>
  </w:endnote>
  <w:endnote w:type="continuationSeparator" w:id="0">
    <w:p w14:paraId="02D77419" w14:textId="77777777" w:rsidR="00EF17CC" w:rsidRDefault="00EF17CC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CA570" w14:textId="77777777" w:rsidR="00EF17CC" w:rsidRDefault="00EF17CC" w:rsidP="00EE5A60">
      <w:pPr>
        <w:spacing w:after="0" w:line="240" w:lineRule="auto"/>
      </w:pPr>
      <w:r>
        <w:separator/>
      </w:r>
    </w:p>
  </w:footnote>
  <w:footnote w:type="continuationSeparator" w:id="0">
    <w:p w14:paraId="20154E6A" w14:textId="77777777" w:rsidR="00EF17CC" w:rsidRDefault="00EF17CC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FD27" w14:textId="1A8C6CC0" w:rsidR="00EE5A60" w:rsidRDefault="00D951AB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0151D747" wp14:editId="68EE56FF">
          <wp:extent cx="399288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28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F29"/>
    <w:multiLevelType w:val="hybridMultilevel"/>
    <w:tmpl w:val="9C643812"/>
    <w:lvl w:ilvl="0" w:tplc="927AD8A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B2A15"/>
    <w:multiLevelType w:val="hybridMultilevel"/>
    <w:tmpl w:val="4A6C7B6C"/>
    <w:lvl w:ilvl="0" w:tplc="D2D6D39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72047"/>
    <w:multiLevelType w:val="hybridMultilevel"/>
    <w:tmpl w:val="0F8A933C"/>
    <w:lvl w:ilvl="0" w:tplc="D2D6D39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D6C8B"/>
    <w:multiLevelType w:val="hybridMultilevel"/>
    <w:tmpl w:val="C03AFECC"/>
    <w:lvl w:ilvl="0" w:tplc="AE4418D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0" w15:restartNumberingAfterBreak="0">
    <w:nsid w:val="215C7094"/>
    <w:multiLevelType w:val="hybridMultilevel"/>
    <w:tmpl w:val="67AA4D66"/>
    <w:lvl w:ilvl="0" w:tplc="D2D6D39E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7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2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CAE4E1E"/>
    <w:multiLevelType w:val="hybridMultilevel"/>
    <w:tmpl w:val="46745080"/>
    <w:lvl w:ilvl="0" w:tplc="D2D6D39E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61817"/>
    <w:multiLevelType w:val="hybridMultilevel"/>
    <w:tmpl w:val="DF30B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C34F4"/>
    <w:multiLevelType w:val="hybridMultilevel"/>
    <w:tmpl w:val="56A21C18"/>
    <w:lvl w:ilvl="0" w:tplc="D2D6D39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0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1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2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4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56A3A"/>
    <w:multiLevelType w:val="hybridMultilevel"/>
    <w:tmpl w:val="F056B308"/>
    <w:lvl w:ilvl="0" w:tplc="22BCF2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27"/>
  </w:num>
  <w:num w:numId="4">
    <w:abstractNumId w:val="19"/>
  </w:num>
  <w:num w:numId="5">
    <w:abstractNumId w:val="5"/>
  </w:num>
  <w:num w:numId="6">
    <w:abstractNumId w:val="8"/>
  </w:num>
  <w:num w:numId="7">
    <w:abstractNumId w:val="22"/>
  </w:num>
  <w:num w:numId="8">
    <w:abstractNumId w:val="13"/>
  </w:num>
  <w:num w:numId="9">
    <w:abstractNumId w:val="21"/>
  </w:num>
  <w:num w:numId="10">
    <w:abstractNumId w:val="16"/>
  </w:num>
  <w:num w:numId="11">
    <w:abstractNumId w:val="29"/>
  </w:num>
  <w:num w:numId="12">
    <w:abstractNumId w:val="9"/>
  </w:num>
  <w:num w:numId="13">
    <w:abstractNumId w:val="6"/>
  </w:num>
  <w:num w:numId="14">
    <w:abstractNumId w:val="34"/>
  </w:num>
  <w:num w:numId="15">
    <w:abstractNumId w:val="32"/>
  </w:num>
  <w:num w:numId="16">
    <w:abstractNumId w:val="26"/>
  </w:num>
  <w:num w:numId="17">
    <w:abstractNumId w:val="14"/>
  </w:num>
  <w:num w:numId="18">
    <w:abstractNumId w:val="12"/>
  </w:num>
  <w:num w:numId="19">
    <w:abstractNumId w:val="36"/>
  </w:num>
  <w:num w:numId="20">
    <w:abstractNumId w:val="23"/>
  </w:num>
  <w:num w:numId="21">
    <w:abstractNumId w:val="17"/>
  </w:num>
  <w:num w:numId="22">
    <w:abstractNumId w:val="18"/>
  </w:num>
  <w:num w:numId="23">
    <w:abstractNumId w:val="4"/>
  </w:num>
  <w:num w:numId="24">
    <w:abstractNumId w:val="31"/>
  </w:num>
  <w:num w:numId="25">
    <w:abstractNumId w:val="15"/>
  </w:num>
  <w:num w:numId="26">
    <w:abstractNumId w:val="11"/>
  </w:num>
  <w:num w:numId="27">
    <w:abstractNumId w:val="20"/>
  </w:num>
  <w:num w:numId="28">
    <w:abstractNumId w:val="33"/>
  </w:num>
  <w:num w:numId="29">
    <w:abstractNumId w:val="30"/>
  </w:num>
  <w:num w:numId="30">
    <w:abstractNumId w:val="0"/>
  </w:num>
  <w:num w:numId="31">
    <w:abstractNumId w:val="10"/>
  </w:num>
  <w:num w:numId="32">
    <w:abstractNumId w:val="25"/>
  </w:num>
  <w:num w:numId="33">
    <w:abstractNumId w:val="1"/>
  </w:num>
  <w:num w:numId="34">
    <w:abstractNumId w:val="7"/>
  </w:num>
  <w:num w:numId="35">
    <w:abstractNumId w:val="35"/>
  </w:num>
  <w:num w:numId="36">
    <w:abstractNumId w:val="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263BD"/>
    <w:rsid w:val="00071106"/>
    <w:rsid w:val="000761CC"/>
    <w:rsid w:val="00081C1D"/>
    <w:rsid w:val="00083F62"/>
    <w:rsid w:val="000B0BF2"/>
    <w:rsid w:val="000B59DE"/>
    <w:rsid w:val="000D4587"/>
    <w:rsid w:val="000E6459"/>
    <w:rsid w:val="000F2608"/>
    <w:rsid w:val="00102D4E"/>
    <w:rsid w:val="00110750"/>
    <w:rsid w:val="00114F11"/>
    <w:rsid w:val="001208A8"/>
    <w:rsid w:val="0013012F"/>
    <w:rsid w:val="00145D5F"/>
    <w:rsid w:val="0015105A"/>
    <w:rsid w:val="00157021"/>
    <w:rsid w:val="00182362"/>
    <w:rsid w:val="001907A6"/>
    <w:rsid w:val="00192367"/>
    <w:rsid w:val="001945C6"/>
    <w:rsid w:val="0019484C"/>
    <w:rsid w:val="001B7F59"/>
    <w:rsid w:val="001C1599"/>
    <w:rsid w:val="001D05E0"/>
    <w:rsid w:val="001E1E6B"/>
    <w:rsid w:val="001F7C09"/>
    <w:rsid w:val="002174D3"/>
    <w:rsid w:val="0021750B"/>
    <w:rsid w:val="00222E78"/>
    <w:rsid w:val="00224ECA"/>
    <w:rsid w:val="0022711D"/>
    <w:rsid w:val="00231236"/>
    <w:rsid w:val="00235784"/>
    <w:rsid w:val="00256102"/>
    <w:rsid w:val="00264653"/>
    <w:rsid w:val="00271310"/>
    <w:rsid w:val="0029158D"/>
    <w:rsid w:val="002B2543"/>
    <w:rsid w:val="002B65ED"/>
    <w:rsid w:val="002B7158"/>
    <w:rsid w:val="002C08A0"/>
    <w:rsid w:val="002C3343"/>
    <w:rsid w:val="002D0D36"/>
    <w:rsid w:val="00310BA9"/>
    <w:rsid w:val="00315534"/>
    <w:rsid w:val="00327B38"/>
    <w:rsid w:val="00331FB3"/>
    <w:rsid w:val="0034040A"/>
    <w:rsid w:val="00373957"/>
    <w:rsid w:val="00382041"/>
    <w:rsid w:val="00390385"/>
    <w:rsid w:val="003B5868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5255D"/>
    <w:rsid w:val="00465DBF"/>
    <w:rsid w:val="004709E4"/>
    <w:rsid w:val="0047282A"/>
    <w:rsid w:val="0048362B"/>
    <w:rsid w:val="00485DE0"/>
    <w:rsid w:val="0049617A"/>
    <w:rsid w:val="004964C4"/>
    <w:rsid w:val="004A2AF9"/>
    <w:rsid w:val="004C6BC6"/>
    <w:rsid w:val="004E5D2E"/>
    <w:rsid w:val="00511A6D"/>
    <w:rsid w:val="005308A7"/>
    <w:rsid w:val="005334BC"/>
    <w:rsid w:val="005607FC"/>
    <w:rsid w:val="00563BD6"/>
    <w:rsid w:val="00572730"/>
    <w:rsid w:val="005A4596"/>
    <w:rsid w:val="005C331D"/>
    <w:rsid w:val="005D5451"/>
    <w:rsid w:val="005F0C9D"/>
    <w:rsid w:val="00611589"/>
    <w:rsid w:val="00615ADE"/>
    <w:rsid w:val="006332BD"/>
    <w:rsid w:val="00661083"/>
    <w:rsid w:val="00665C62"/>
    <w:rsid w:val="0066696D"/>
    <w:rsid w:val="00674579"/>
    <w:rsid w:val="006921F0"/>
    <w:rsid w:val="00694547"/>
    <w:rsid w:val="00701BF1"/>
    <w:rsid w:val="0071203C"/>
    <w:rsid w:val="00716C22"/>
    <w:rsid w:val="007336F0"/>
    <w:rsid w:val="00743484"/>
    <w:rsid w:val="00744076"/>
    <w:rsid w:val="00754825"/>
    <w:rsid w:val="00780DAA"/>
    <w:rsid w:val="00790164"/>
    <w:rsid w:val="007969E8"/>
    <w:rsid w:val="007A0B8E"/>
    <w:rsid w:val="007A1F17"/>
    <w:rsid w:val="007B4C0D"/>
    <w:rsid w:val="007D4D0E"/>
    <w:rsid w:val="007E1EF4"/>
    <w:rsid w:val="007E2B65"/>
    <w:rsid w:val="007E4C7F"/>
    <w:rsid w:val="007F3CA9"/>
    <w:rsid w:val="00801C97"/>
    <w:rsid w:val="008134B0"/>
    <w:rsid w:val="00840012"/>
    <w:rsid w:val="00860513"/>
    <w:rsid w:val="008607D5"/>
    <w:rsid w:val="00892E1E"/>
    <w:rsid w:val="00893165"/>
    <w:rsid w:val="0089390E"/>
    <w:rsid w:val="008965F1"/>
    <w:rsid w:val="008A3992"/>
    <w:rsid w:val="008C0D49"/>
    <w:rsid w:val="008C5AAF"/>
    <w:rsid w:val="008C743B"/>
    <w:rsid w:val="00916D62"/>
    <w:rsid w:val="0092278B"/>
    <w:rsid w:val="00926E8E"/>
    <w:rsid w:val="0093021B"/>
    <w:rsid w:val="009464A0"/>
    <w:rsid w:val="009526B6"/>
    <w:rsid w:val="00974843"/>
    <w:rsid w:val="009A12AB"/>
    <w:rsid w:val="009A185A"/>
    <w:rsid w:val="009A7A5D"/>
    <w:rsid w:val="009C4694"/>
    <w:rsid w:val="009D7A12"/>
    <w:rsid w:val="009E4FCC"/>
    <w:rsid w:val="009E7074"/>
    <w:rsid w:val="009E7B87"/>
    <w:rsid w:val="00A05905"/>
    <w:rsid w:val="00A15AF9"/>
    <w:rsid w:val="00A22FC2"/>
    <w:rsid w:val="00A2478E"/>
    <w:rsid w:val="00A255EC"/>
    <w:rsid w:val="00A26A9D"/>
    <w:rsid w:val="00A27AE6"/>
    <w:rsid w:val="00A31B9F"/>
    <w:rsid w:val="00A43647"/>
    <w:rsid w:val="00A44391"/>
    <w:rsid w:val="00A628C1"/>
    <w:rsid w:val="00A72904"/>
    <w:rsid w:val="00A72F47"/>
    <w:rsid w:val="00A77D24"/>
    <w:rsid w:val="00A8283B"/>
    <w:rsid w:val="00AA10E3"/>
    <w:rsid w:val="00AA4A6F"/>
    <w:rsid w:val="00AB0110"/>
    <w:rsid w:val="00AB42CA"/>
    <w:rsid w:val="00AB6B06"/>
    <w:rsid w:val="00AC0613"/>
    <w:rsid w:val="00AC3319"/>
    <w:rsid w:val="00AC52AD"/>
    <w:rsid w:val="00AD52E7"/>
    <w:rsid w:val="00AD64AA"/>
    <w:rsid w:val="00AF0A2C"/>
    <w:rsid w:val="00AF4470"/>
    <w:rsid w:val="00AF62AD"/>
    <w:rsid w:val="00AF7DE0"/>
    <w:rsid w:val="00B037C6"/>
    <w:rsid w:val="00B05CA0"/>
    <w:rsid w:val="00B1730C"/>
    <w:rsid w:val="00B25C2B"/>
    <w:rsid w:val="00B26330"/>
    <w:rsid w:val="00B36E20"/>
    <w:rsid w:val="00B53EDB"/>
    <w:rsid w:val="00B63620"/>
    <w:rsid w:val="00B7456E"/>
    <w:rsid w:val="00B828B1"/>
    <w:rsid w:val="00B916B8"/>
    <w:rsid w:val="00B93B09"/>
    <w:rsid w:val="00BA780A"/>
    <w:rsid w:val="00BB5050"/>
    <w:rsid w:val="00BC0B4A"/>
    <w:rsid w:val="00BD0569"/>
    <w:rsid w:val="00BD1B85"/>
    <w:rsid w:val="00BE32D5"/>
    <w:rsid w:val="00BE4C5A"/>
    <w:rsid w:val="00C02F74"/>
    <w:rsid w:val="00C121EF"/>
    <w:rsid w:val="00C14210"/>
    <w:rsid w:val="00C23B1B"/>
    <w:rsid w:val="00C502B9"/>
    <w:rsid w:val="00C55E58"/>
    <w:rsid w:val="00C86433"/>
    <w:rsid w:val="00CA7EA7"/>
    <w:rsid w:val="00CB0DDB"/>
    <w:rsid w:val="00CB278D"/>
    <w:rsid w:val="00CB3345"/>
    <w:rsid w:val="00CC5025"/>
    <w:rsid w:val="00CC7D02"/>
    <w:rsid w:val="00CD04B4"/>
    <w:rsid w:val="00CE4191"/>
    <w:rsid w:val="00D0139C"/>
    <w:rsid w:val="00D01789"/>
    <w:rsid w:val="00D01F26"/>
    <w:rsid w:val="00D0415E"/>
    <w:rsid w:val="00D1532A"/>
    <w:rsid w:val="00D20083"/>
    <w:rsid w:val="00D34BFC"/>
    <w:rsid w:val="00D34E82"/>
    <w:rsid w:val="00D37744"/>
    <w:rsid w:val="00D429DA"/>
    <w:rsid w:val="00D4340B"/>
    <w:rsid w:val="00D460BE"/>
    <w:rsid w:val="00D47895"/>
    <w:rsid w:val="00D5089F"/>
    <w:rsid w:val="00D53832"/>
    <w:rsid w:val="00D54C39"/>
    <w:rsid w:val="00D70C57"/>
    <w:rsid w:val="00D837CE"/>
    <w:rsid w:val="00D87E72"/>
    <w:rsid w:val="00D951AB"/>
    <w:rsid w:val="00DA3D5C"/>
    <w:rsid w:val="00DA7787"/>
    <w:rsid w:val="00DD5D63"/>
    <w:rsid w:val="00DD6D00"/>
    <w:rsid w:val="00DE4096"/>
    <w:rsid w:val="00DF1627"/>
    <w:rsid w:val="00E0544F"/>
    <w:rsid w:val="00E41577"/>
    <w:rsid w:val="00E538B5"/>
    <w:rsid w:val="00E549C1"/>
    <w:rsid w:val="00E604D2"/>
    <w:rsid w:val="00E70A4B"/>
    <w:rsid w:val="00E726A3"/>
    <w:rsid w:val="00E744CE"/>
    <w:rsid w:val="00E74A5C"/>
    <w:rsid w:val="00E77CFA"/>
    <w:rsid w:val="00E87FF1"/>
    <w:rsid w:val="00E94B9E"/>
    <w:rsid w:val="00EA02DF"/>
    <w:rsid w:val="00EA1A38"/>
    <w:rsid w:val="00EB2D36"/>
    <w:rsid w:val="00EB7CB9"/>
    <w:rsid w:val="00ED1888"/>
    <w:rsid w:val="00EE057B"/>
    <w:rsid w:val="00EE5A60"/>
    <w:rsid w:val="00EF02C7"/>
    <w:rsid w:val="00EF17CC"/>
    <w:rsid w:val="00F253FF"/>
    <w:rsid w:val="00F43C47"/>
    <w:rsid w:val="00F53199"/>
    <w:rsid w:val="00F53BF4"/>
    <w:rsid w:val="00F67E09"/>
    <w:rsid w:val="00F7144E"/>
    <w:rsid w:val="00F72435"/>
    <w:rsid w:val="00F84C69"/>
    <w:rsid w:val="00F85055"/>
    <w:rsid w:val="00F94450"/>
    <w:rsid w:val="00F95CFA"/>
    <w:rsid w:val="00FA7901"/>
    <w:rsid w:val="00FC4950"/>
    <w:rsid w:val="00FD4A44"/>
    <w:rsid w:val="00FD544B"/>
    <w:rsid w:val="00FE3B51"/>
    <w:rsid w:val="00FE5963"/>
    <w:rsid w:val="00FE63FE"/>
    <w:rsid w:val="00FE7F1D"/>
    <w:rsid w:val="00FF304F"/>
    <w:rsid w:val="00FF34A7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6A98C7"/>
  <w15:chartTrackingRefBased/>
  <w15:docId w15:val="{4DDD3109-AFFA-43E8-A5A2-3152DFC3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styleId="Strong">
    <w:name w:val="Strong"/>
    <w:basedOn w:val="DefaultParagraphFont"/>
    <w:uiPriority w:val="22"/>
    <w:qFormat/>
    <w:rsid w:val="00ED1888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2915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6873F-F403-429B-85BF-3A4EAC15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1461</Words>
  <Characters>8333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cp:lastPrinted>2025-09-27T09:35:00Z</cp:lastPrinted>
  <dcterms:created xsi:type="dcterms:W3CDTF">2026-02-08T10:05:00Z</dcterms:created>
  <dcterms:modified xsi:type="dcterms:W3CDTF">2026-02-08T10:33:00Z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